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正文"/>
        <w:bidi w:val="0"/>
      </w:pPr>
      <w:r>
        <w:rPr>
          <w:rtl w:val="0"/>
        </w:rPr>
        <w:t>1.</w:t>
      </w:r>
      <w:r>
        <w:rPr>
          <w:rFonts w:ascii="Arial Unicode MS" w:hAnsi="Arial Unicode MS" w:eastAsia="PingFang SC Regular" w:hint="eastAsia"/>
          <w:rtl w:val="0"/>
        </w:rPr>
        <w:t>新建商户账号</w:t>
      </w:r>
      <w: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203200</wp:posOffset>
            </wp:positionV>
            <wp:extent cx="6120057" cy="3493511"/>
            <wp:effectExtent l="0" t="0" r="0" b="0"/>
            <wp:wrapThrough wrapText="bothSides" distL="152400" distR="152400">
              <wp:wrapPolygon edited="1">
                <wp:start x="0" y="0"/>
                <wp:lineTo x="21621" y="0"/>
                <wp:lineTo x="21621" y="21617"/>
                <wp:lineTo x="0" y="21617"/>
                <wp:lineTo x="0" y="0"/>
              </wp:wrapPolygon>
            </wp:wrapThrough>
            <wp:docPr id="1073741825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图像" descr="图像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349351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bidi w:val="0"/>
      </w:pPr>
    </w:p>
    <w:p>
      <w:pPr>
        <w:pStyle w:val="正文"/>
        <w:bidi w:val="0"/>
      </w:pPr>
      <w:r>
        <w:rPr>
          <w:rtl w:val="0"/>
        </w:rPr>
        <w:t>2.</w:t>
      </w:r>
      <w:r>
        <w:rPr>
          <w:rFonts w:ascii="Arial Unicode MS" w:hAnsi="Arial Unicode MS" w:eastAsia="PingFang SC Regular" w:hint="eastAsia"/>
          <w:rtl w:val="0"/>
        </w:rPr>
        <w:t>新开</w:t>
      </w:r>
      <w:r>
        <w:rPr>
          <w:rtl w:val="0"/>
        </w:rPr>
        <w:t>api</w:t>
      </w:r>
      <w:r>
        <w:rPr>
          <w:rFonts w:ascii="Arial Unicode MS" w:hAnsi="Arial Unicode MS" w:eastAsia="PingFang SC Regular" w:hint="eastAsia"/>
          <w:rtl w:val="0"/>
        </w:rPr>
        <w:t>线路</w:t>
      </w:r>
      <w: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-6349</wp:posOffset>
            </wp:positionH>
            <wp:positionV relativeFrom="line">
              <wp:posOffset>257201</wp:posOffset>
            </wp:positionV>
            <wp:extent cx="6120057" cy="3702526"/>
            <wp:effectExtent l="0" t="0" r="0" b="0"/>
            <wp:wrapThrough wrapText="bothSides" distL="152400" distR="152400">
              <wp:wrapPolygon edited="1">
                <wp:start x="0" y="0"/>
                <wp:lineTo x="0" y="21600"/>
                <wp:lineTo x="21601" y="21600"/>
                <wp:lineTo x="21601" y="0"/>
                <wp:lineTo x="0" y="0"/>
              </wp:wrapPolygon>
            </wp:wrapThrough>
            <wp:docPr id="1073741826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图像" descr="图像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rcRect l="0" t="0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370252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bidi w:val="0"/>
      </w:pP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p>
      <w:pPr>
        <w:pStyle w:val="正文"/>
        <w:bidi w:val="0"/>
      </w:pPr>
      <w:r>
        <w:rPr>
          <w:rtl w:val="0"/>
        </w:rPr>
        <w:t>3.</w:t>
      </w:r>
      <w:r>
        <w:rPr>
          <w:rFonts w:ascii="Arial Unicode MS" w:hAnsi="Arial Unicode MS" w:eastAsia="PingFang SC Regular" w:hint="eastAsia"/>
          <w:rtl w:val="0"/>
        </w:rPr>
        <w:t>查询所有的账变记录</w:t>
      </w:r>
      <w:r>
        <w:drawing xmlns:a="http://schemas.openxmlformats.org/drawingml/2006/main">
          <wp:anchor distT="152400" distB="152400" distL="152400" distR="152400" simplePos="0" relativeHeight="251661312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203200</wp:posOffset>
            </wp:positionV>
            <wp:extent cx="6120057" cy="2750588"/>
            <wp:effectExtent l="0" t="0" r="0" b="0"/>
            <wp:wrapThrough wrapText="bothSides" distL="152400" distR="152400">
              <wp:wrapPolygon edited="1">
                <wp:start x="0" y="0"/>
                <wp:lineTo x="21621" y="0"/>
                <wp:lineTo x="21621" y="21636"/>
                <wp:lineTo x="0" y="21636"/>
                <wp:lineTo x="0" y="0"/>
              </wp:wrapPolygon>
            </wp:wrapThrough>
            <wp:docPr id="1073741827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图像" descr="图像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275058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  <w:r>
        <w:rPr>
          <w:rFonts w:ascii="Arial Unicode MS" w:hAnsi="Arial Unicode MS" w:eastAsia="PingFang SC Regular" w:hint="eastAsia"/>
          <w:rtl w:val="0"/>
        </w:rPr>
        <w:t>关于运营流程整理：</w:t>
      </w:r>
    </w:p>
    <w:p>
      <w:pPr>
        <w:pStyle w:val="正文"/>
        <w:numPr>
          <w:ilvl w:val="0"/>
          <w:numId w:val="2"/>
        </w:numPr>
        <w:bidi w:val="0"/>
      </w:pPr>
      <w:r>
        <w:rPr>
          <w:rFonts w:ascii="Arial Unicode MS" w:hAnsi="Arial Unicode MS" w:eastAsia="PingFang SC Regular" w:hint="eastAsia"/>
          <w:rtl w:val="0"/>
        </w:rPr>
        <w:t>通过总后台先给卡商开账号</w:t>
      </w:r>
    </w:p>
    <w:p>
      <w:pPr>
        <w:pStyle w:val="正文"/>
        <w:numPr>
          <w:ilvl w:val="0"/>
          <w:numId w:val="2"/>
        </w:numPr>
        <w:bidi w:val="0"/>
      </w:pPr>
      <w:r>
        <w:rPr>
          <w:rFonts w:ascii="Arial Unicode MS" w:hAnsi="Arial Unicode MS" w:eastAsia="PingFang SC Regular" w:hint="eastAsia"/>
          <w:rtl w:val="0"/>
        </w:rPr>
        <w:t>我方财务通过线下方式收取卡商保证金</w:t>
      </w:r>
      <w:r>
        <w:rPr>
          <w:rtl w:val="0"/>
        </w:rPr>
        <w:t>usdt</w:t>
      </w:r>
      <w:r>
        <w:rPr>
          <w:rFonts w:ascii="Arial Unicode MS" w:hAnsi="Arial Unicode MS" w:eastAsia="PingFang SC Regular" w:hint="eastAsia"/>
          <w:rtl w:val="0"/>
        </w:rPr>
        <w:t>，在系统给卡商账号加款。</w:t>
      </w:r>
      <w:r>
        <w:drawing xmlns:a="http://schemas.openxmlformats.org/drawingml/2006/main">
          <wp:anchor distT="152400" distB="152400" distL="152400" distR="152400" simplePos="0" relativeHeight="251662336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213359</wp:posOffset>
            </wp:positionV>
            <wp:extent cx="3887502" cy="1360626"/>
            <wp:effectExtent l="0" t="0" r="0" b="0"/>
            <wp:wrapTopAndBottom distT="152400" distB="152400"/>
            <wp:docPr id="1073741828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图像" descr="图像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7502" cy="136062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numPr>
          <w:ilvl w:val="0"/>
          <w:numId w:val="2"/>
        </w:numPr>
        <w:bidi w:val="0"/>
      </w:pPr>
      <w:r>
        <w:rPr>
          <w:rFonts w:ascii="Arial Unicode MS" w:hAnsi="Arial Unicode MS" w:eastAsia="PingFang SC Regular" w:hint="eastAsia"/>
          <w:rtl w:val="0"/>
        </w:rPr>
        <w:t>卡商在卡商后台绑定银行卡</w:t>
      </w:r>
    </w:p>
    <w:p>
      <w:pPr>
        <w:pStyle w:val="正文"/>
        <w:numPr>
          <w:ilvl w:val="0"/>
          <w:numId w:val="2"/>
        </w:numPr>
        <w:bidi w:val="0"/>
      </w:pPr>
      <w:r>
        <w:rPr>
          <w:rFonts w:ascii="Arial Unicode MS" w:hAnsi="Arial Unicode MS" w:eastAsia="PingFang SC Regular" w:hint="eastAsia"/>
          <w:rtl w:val="0"/>
        </w:rPr>
        <w:t>我们在总后台开商户后台账号和商户</w:t>
      </w:r>
      <w:r>
        <w:rPr>
          <w:rtl w:val="0"/>
        </w:rPr>
        <w:t>api</w:t>
      </w:r>
      <w:r>
        <w:rPr>
          <w:rFonts w:ascii="Arial Unicode MS" w:hAnsi="Arial Unicode MS" w:eastAsia="PingFang SC Regular" w:hint="eastAsia"/>
          <w:rtl w:val="0"/>
        </w:rPr>
        <w:t>，详见上面贴图</w:t>
      </w:r>
      <w:r>
        <w:rPr>
          <w:rtl w:val="0"/>
        </w:rPr>
        <w:t>1</w:t>
      </w:r>
      <w:r>
        <w:rPr>
          <w:rFonts w:ascii="Arial Unicode MS" w:hAnsi="Arial Unicode MS" w:eastAsia="PingFang SC Regular" w:hint="eastAsia"/>
          <w:rtl w:val="0"/>
        </w:rPr>
        <w:t>，</w:t>
      </w:r>
      <w:r>
        <w:rPr>
          <w:rtl w:val="0"/>
        </w:rPr>
        <w:t>2</w:t>
      </w:r>
      <w:r>
        <w:rPr>
          <w:rFonts w:ascii="Arial Unicode MS" w:hAnsi="Arial Unicode MS" w:eastAsia="PingFang SC Regular" w:hint="eastAsia"/>
          <w:rtl w:val="0"/>
        </w:rPr>
        <w:t>，注意通道费率的设置</w:t>
      </w:r>
    </w:p>
    <w:p>
      <w:pPr>
        <w:pStyle w:val="正文"/>
        <w:numPr>
          <w:ilvl w:val="0"/>
          <w:numId w:val="2"/>
        </w:numPr>
        <w:bidi w:val="0"/>
      </w:pPr>
      <w:r>
        <w:rPr>
          <w:rFonts w:ascii="Arial Unicode MS" w:hAnsi="Arial Unicode MS" w:eastAsia="PingFang SC Regular" w:hint="eastAsia"/>
          <w:rtl w:val="0"/>
        </w:rPr>
        <w:t>商户在商户后台可以手工开单测试</w:t>
      </w:r>
      <w:r>
        <w:drawing xmlns:a="http://schemas.openxmlformats.org/drawingml/2006/main">
          <wp:anchor distT="152400" distB="152400" distL="152400" distR="152400" simplePos="0" relativeHeight="251663360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203200</wp:posOffset>
            </wp:positionV>
            <wp:extent cx="3887502" cy="1881050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23"/>
                <wp:lineTo x="0" y="21623"/>
                <wp:lineTo x="0" y="0"/>
              </wp:wrapPolygon>
            </wp:wrapThrough>
            <wp:docPr id="1073741829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图像" descr="图像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7502" cy="18810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  <w:r>
        <w:rPr>
          <w:rtl w:val="0"/>
        </w:rPr>
        <w:t>6.</w:t>
      </w:r>
      <w:r>
        <w:rPr>
          <w:rFonts w:ascii="Arial Unicode MS" w:hAnsi="Arial Unicode MS" w:eastAsia="PingFang SC Regular" w:hint="eastAsia"/>
          <w:rtl w:val="0"/>
        </w:rPr>
        <w:t>打开支付地址进行支付</w:t>
      </w:r>
    </w:p>
    <w:p>
      <w:pPr>
        <w:pStyle w:val="正文"/>
        <w:bidi w:val="0"/>
      </w:pP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  <w:r>
        <w:drawing xmlns:a="http://schemas.openxmlformats.org/drawingml/2006/main">
          <wp:anchor distT="152400" distB="152400" distL="152400" distR="152400" simplePos="0" relativeHeight="251665408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203200</wp:posOffset>
            </wp:positionV>
            <wp:extent cx="4042028" cy="232755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13"/>
                <wp:lineTo x="0" y="21613"/>
                <wp:lineTo x="0" y="0"/>
              </wp:wrapPolygon>
            </wp:wrapThrough>
            <wp:docPr id="1073741830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图像" descr="图像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2028" cy="232755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</w:p>
    <w:p>
      <w:pPr>
        <w:pStyle w:val="正文"/>
        <w:bidi w:val="0"/>
      </w:pPr>
      <w:r>
        <w:rPr>
          <w:rtl w:val="0"/>
        </w:rPr>
        <w:t>7.</w:t>
      </w:r>
      <w:r>
        <w:rPr>
          <w:rFonts w:ascii="Arial Unicode MS" w:hAnsi="Arial Unicode MS" w:eastAsia="PingFang SC Regular" w:hint="eastAsia"/>
          <w:rtl w:val="0"/>
        </w:rPr>
        <w:t>卡商审批是否已</w:t>
      </w:r>
      <w:r>
        <w:drawing xmlns:a="http://schemas.openxmlformats.org/drawingml/2006/main">
          <wp:anchor distT="152400" distB="152400" distL="152400" distR="152400" simplePos="0" relativeHeight="251664384" behindDoc="0" locked="0" layoutInCell="1" allowOverlap="1">
            <wp:simplePos x="0" y="0"/>
            <wp:positionH relativeFrom="page">
              <wp:posOffset>516800</wp:posOffset>
            </wp:positionH>
            <wp:positionV relativeFrom="page">
              <wp:posOffset>-237949</wp:posOffset>
            </wp:positionV>
            <wp:extent cx="4448428" cy="2033952"/>
            <wp:effectExtent l="0" t="0" r="0" b="0"/>
            <wp:wrapThrough wrapText="bothSides" distL="152400" distR="152400">
              <wp:wrapPolygon edited="1">
                <wp:start x="0" y="0"/>
                <wp:lineTo x="21621" y="0"/>
                <wp:lineTo x="21621" y="21637"/>
                <wp:lineTo x="0" y="21637"/>
                <wp:lineTo x="0" y="0"/>
              </wp:wrapPolygon>
            </wp:wrapThrough>
            <wp:docPr id="1073741833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图像" descr="图像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428" cy="203395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Arial Unicode MS" w:hAnsi="Arial Unicode MS" w:eastAsia="PingFang SC Regular" w:hint="eastAsia"/>
          <w:rtl w:val="0"/>
        </w:rPr>
        <w:t>收款</w:t>
      </w:r>
      <w:r>
        <w:drawing xmlns:a="http://schemas.openxmlformats.org/drawingml/2006/main">
          <wp:anchor distT="152400" distB="152400" distL="152400" distR="152400" simplePos="0" relativeHeight="251666432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203200</wp:posOffset>
            </wp:positionV>
            <wp:extent cx="6120057" cy="274804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09"/>
                <wp:lineTo x="0" y="21609"/>
                <wp:lineTo x="0" y="0"/>
              </wp:wrapPolygon>
            </wp:wrapThrough>
            <wp:docPr id="1073741831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图像" descr="图像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274804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bidi w:val="0"/>
      </w:pPr>
    </w:p>
    <w:p>
      <w:pPr>
        <w:pStyle w:val="正文"/>
        <w:bidi w:val="0"/>
      </w:pPr>
      <w:r>
        <w:rPr>
          <w:rtl w:val="0"/>
        </w:rPr>
        <w:t>8.</w:t>
      </w:r>
      <w:r>
        <w:rPr>
          <w:rFonts w:ascii="Arial Unicode MS" w:hAnsi="Arial Unicode MS" w:eastAsia="PingFang SC Regular" w:hint="eastAsia"/>
          <w:rtl w:val="0"/>
        </w:rPr>
        <w:t>审批通过以后，总后台可以看到商户的账变日志</w:t>
      </w:r>
      <w:r>
        <w:drawing xmlns:a="http://schemas.openxmlformats.org/drawingml/2006/main">
          <wp:anchor distT="152400" distB="152400" distL="152400" distR="152400" simplePos="0" relativeHeight="251667456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203200</wp:posOffset>
            </wp:positionV>
            <wp:extent cx="6120057" cy="1964092"/>
            <wp:effectExtent l="0" t="0" r="0" b="0"/>
            <wp:wrapThrough wrapText="bothSides" distL="152400" distR="152400">
              <wp:wrapPolygon edited="1">
                <wp:start x="0" y="0"/>
                <wp:lineTo x="21621" y="0"/>
                <wp:lineTo x="21621" y="21624"/>
                <wp:lineTo x="0" y="21624"/>
                <wp:lineTo x="0" y="0"/>
              </wp:wrapPolygon>
            </wp:wrapThrough>
            <wp:docPr id="1073741832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图像" descr="图像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196409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bidi w:val="0"/>
      </w:pPr>
      <w:r>
        <w:rPr>
          <w:rtl w:val="0"/>
        </w:rPr>
        <w:t>9.</w:t>
      </w:r>
      <w:r>
        <w:rPr>
          <w:rFonts w:ascii="Arial Unicode MS" w:hAnsi="Arial Unicode MS" w:eastAsia="PingFang SC Regular" w:hint="eastAsia"/>
          <w:rtl w:val="0"/>
        </w:rPr>
        <w:t>商户可以线下联系我方财务进行提款</w:t>
      </w:r>
      <w:r>
        <w:rPr>
          <w:rtl w:val="0"/>
        </w:rPr>
        <w:t>usdt</w:t>
      </w:r>
      <w:r>
        <w:rPr>
          <w:rFonts w:ascii="Arial Unicode MS" w:hAnsi="Arial Unicode MS" w:eastAsia="PingFang SC Regular" w:hint="eastAsia"/>
          <w:rtl w:val="0"/>
        </w:rPr>
        <w:t>操作，我方财务在总后台通过修改保证金下分</w:t>
      </w:r>
      <w:r>
        <w:drawing xmlns:a="http://schemas.openxmlformats.org/drawingml/2006/main">
          <wp:anchor distT="152400" distB="152400" distL="152400" distR="152400" simplePos="0" relativeHeight="251668480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203200</wp:posOffset>
            </wp:positionV>
            <wp:extent cx="6120057" cy="1997252"/>
            <wp:effectExtent l="0" t="0" r="0" b="0"/>
            <wp:wrapThrough wrapText="bothSides" distL="152400" distR="152400">
              <wp:wrapPolygon edited="1">
                <wp:start x="0" y="0"/>
                <wp:lineTo x="21600" y="0"/>
                <wp:lineTo x="21600" y="21653"/>
                <wp:lineTo x="0" y="21653"/>
                <wp:lineTo x="0" y="0"/>
              </wp:wrapPolygon>
            </wp:wrapThrough>
            <wp:docPr id="1073741834" name="officeArt object" descr="图像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图像" descr="图像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057" cy="1997252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bidi w:val="0"/>
      </w:pPr>
      <w:r>
        <w:rPr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sectPr>
      <w:headerReference w:type="default" r:id="rId14"/>
      <w:footerReference w:type="default" r:id="rId15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PingFang SC Regular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numStyleLink w:val="编号"/>
  </w:abstractNum>
  <w:abstractNum w:abstractNumId="1">
    <w:multiLevelType w:val="hybridMultilevel"/>
    <w:styleLink w:val="编号"/>
    <w:lvl w:ilvl="0">
      <w:start w:val="1"/>
      <w:numFmt w:val="decimal"/>
      <w:suff w:val="tab"/>
      <w:lvlText w:val="%1."/>
      <w:lvlJc w:val="left"/>
      <w:pPr>
        <w:ind w:left="3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decimal"/>
      <w:suff w:val="tab"/>
      <w:lvlText w:val="%2.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decimal"/>
      <w:suff w:val="tab"/>
      <w:lvlText w:val="%3.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decimal"/>
      <w:suff w:val="tab"/>
      <w:lvlText w:val="%4.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decimal"/>
      <w:suff w:val="tab"/>
      <w:lvlText w:val="%5.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decimal"/>
      <w:suff w:val="tab"/>
      <w:lvlText w:val="%6.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decimal"/>
      <w:suff w:val="tab"/>
      <w:lvlText w:val="%7.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decimal"/>
      <w:suff w:val="tab"/>
      <w:lvlText w:val="%8.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decimal"/>
      <w:suff w:val="tab"/>
      <w:lvlText w:val="%9.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中文" w:val="‘“(〔[{〈《「『【⦅〘〖«〝︵︷︹︻︽︿﹁﹃﹇﹙﹛﹝｢"/>
  <w:noLineBreaksBefore w:lang="中文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正文">
    <w:name w:val="正文"/>
    <w:next w:val="正文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PingFang SC Regular" w:cs="Arial Unicode MS" w:hAnsi="PingFang SC Regular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:lang w:val="zh-CN" w:eastAsia="zh-CN"/>
      <w14:textOutline>
        <w14:noFill/>
      </w14:textOutline>
      <w14:textFill>
        <w14:solidFill>
          <w14:srgbClr w14:val="000000"/>
        </w14:solidFill>
      </w14:textFill>
    </w:rPr>
  </w:style>
  <w:style w:type="numbering" w:styleId="编号">
    <w:name w:val="编号"/>
    <w:pPr>
      <w:numPr>
        <w:numId w:val="1"/>
      </w:numPr>
    </w:p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7.png"/><Relationship Id="rId11" Type="http://schemas.openxmlformats.org/officeDocument/2006/relationships/image" Target="media/image8.png"/><Relationship Id="rId12" Type="http://schemas.openxmlformats.org/officeDocument/2006/relationships/image" Target="media/image9.png"/><Relationship Id="rId13" Type="http://schemas.openxmlformats.org/officeDocument/2006/relationships/image" Target="media/image10.png"/><Relationship Id="rId14" Type="http://schemas.openxmlformats.org/officeDocument/2006/relationships/header" Target="header1.xml"/><Relationship Id="rId15" Type="http://schemas.openxmlformats.org/officeDocument/2006/relationships/footer" Target="footer1.xml"/><Relationship Id="rId16" Type="http://schemas.openxmlformats.org/officeDocument/2006/relationships/numbering" Target="numbering.xml"/><Relationship Id="rId1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PingFang SC Semibold"/>
        <a:ea typeface="PingFang SC Semibold"/>
        <a:cs typeface="PingFang SC Semibold"/>
      </a:majorFont>
      <a:minorFont>
        <a:latin typeface="PingFang SC Regular"/>
        <a:ea typeface="PingFang SC Regular"/>
        <a:cs typeface="PingFang SC Regular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PingFang SC Medium"/>
            <a:ea typeface="PingFang SC Medium"/>
            <a:cs typeface="PingFang SC Medium"/>
            <a:sym typeface="PingFang SC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PingFang SC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